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73960" w14:textId="77C387BC" w:rsidR="00CF1C76" w:rsidRDefault="00DF6F60" w:rsidP="006C376B">
      <w:pPr>
        <w:spacing w:after="0" w:line="240" w:lineRule="auto"/>
        <w:jc w:val="center"/>
        <w:rPr>
          <w:b/>
        </w:rPr>
      </w:pPr>
      <w:r>
        <w:rPr>
          <w:b/>
        </w:rPr>
        <w:t xml:space="preserve">Telehealth </w:t>
      </w:r>
      <w:r w:rsidR="00D02AC6">
        <w:rPr>
          <w:b/>
        </w:rPr>
        <w:t xml:space="preserve">in </w:t>
      </w:r>
      <w:r>
        <w:rPr>
          <w:b/>
        </w:rPr>
        <w:t xml:space="preserve">the </w:t>
      </w:r>
      <w:r w:rsidR="006D675E" w:rsidRPr="006D675E">
        <w:rPr>
          <w:b/>
        </w:rPr>
        <w:t>Medicare</w:t>
      </w:r>
      <w:r w:rsidR="00D02AC6">
        <w:rPr>
          <w:b/>
        </w:rPr>
        <w:t xml:space="preserve"> Fee-for-Service (FFS)</w:t>
      </w:r>
      <w:r>
        <w:rPr>
          <w:b/>
        </w:rPr>
        <w:t xml:space="preserve"> Program</w:t>
      </w:r>
      <w:r w:rsidR="00D02AC6">
        <w:rPr>
          <w:b/>
        </w:rPr>
        <w:t>: Overview and Policy Position</w:t>
      </w:r>
    </w:p>
    <w:p w14:paraId="1CD73961" w14:textId="233B2944" w:rsidR="00D02AC6" w:rsidRPr="00D02AC6" w:rsidRDefault="00DF6F60" w:rsidP="006C376B">
      <w:pPr>
        <w:spacing w:after="0" w:line="240" w:lineRule="auto"/>
        <w:jc w:val="center"/>
        <w:rPr>
          <w:i/>
        </w:rPr>
      </w:pPr>
      <w:r>
        <w:rPr>
          <w:i/>
        </w:rPr>
        <w:t xml:space="preserve">Statutory Restrictions under </w:t>
      </w:r>
      <w:r w:rsidR="00D02AC6" w:rsidRPr="00D02AC6">
        <w:rPr>
          <w:i/>
        </w:rPr>
        <w:t>Section 1834(m) of the Social Security Act</w:t>
      </w:r>
    </w:p>
    <w:p w14:paraId="1CD73962" w14:textId="77777777" w:rsidR="00D02AC6" w:rsidRDefault="00D02AC6" w:rsidP="006C376B">
      <w:pPr>
        <w:spacing w:after="0" w:line="240" w:lineRule="auto"/>
        <w:jc w:val="both"/>
        <w:rPr>
          <w:b/>
        </w:rPr>
      </w:pPr>
    </w:p>
    <w:p w14:paraId="7E6E4FC9" w14:textId="77777777" w:rsidR="000B1178" w:rsidRDefault="00831E7B" w:rsidP="006C376B">
      <w:pPr>
        <w:spacing w:before="120" w:after="0" w:line="240" w:lineRule="auto"/>
        <w:jc w:val="both"/>
      </w:pPr>
      <w:r w:rsidRPr="00EB3A01">
        <w:t xml:space="preserve">Section 1834(m) of the </w:t>
      </w:r>
      <w:r w:rsidRPr="00EB3A01">
        <w:rPr>
          <w:rFonts w:eastAsia="Times New Roman" w:cs="Arial"/>
        </w:rPr>
        <w:t>Social Security Act</w:t>
      </w:r>
      <w:r w:rsidR="00CF1C76" w:rsidRPr="00EB3A01">
        <w:rPr>
          <w:rFonts w:eastAsia="Times New Roman" w:cs="Arial"/>
        </w:rPr>
        <w:t xml:space="preserve"> (</w:t>
      </w:r>
      <w:r w:rsidR="00CF1C76" w:rsidRPr="00EB3A01">
        <w:t>42 U.S.C. 1395m)</w:t>
      </w:r>
      <w:r w:rsidRPr="00EB3A01">
        <w:t xml:space="preserve"> </w:t>
      </w:r>
      <w:r w:rsidR="00CF1C76" w:rsidRPr="00EB3A01">
        <w:t xml:space="preserve">restricts </w:t>
      </w:r>
      <w:r w:rsidR="00D10BEC">
        <w:t>utilization of</w:t>
      </w:r>
      <w:r w:rsidR="00EB3A01">
        <w:t xml:space="preserve"> </w:t>
      </w:r>
      <w:r w:rsidR="00CF1C76" w:rsidRPr="00EB3A01">
        <w:t xml:space="preserve">and reimbursement for </w:t>
      </w:r>
      <w:r w:rsidR="00D10BEC">
        <w:t xml:space="preserve">telehealth and remote patient monitoring services </w:t>
      </w:r>
      <w:r w:rsidR="00EB3A01" w:rsidRPr="00EB3A01">
        <w:t>in the traditional Medicare fee-for-service (FFS)</w:t>
      </w:r>
      <w:r w:rsidR="00DF6F60">
        <w:t xml:space="preserve"> program</w:t>
      </w:r>
      <w:r w:rsidR="00EB3A01" w:rsidRPr="00EB3A01">
        <w:t xml:space="preserve"> </w:t>
      </w:r>
      <w:r w:rsidR="00D02AC6">
        <w:t xml:space="preserve">by narrowly </w:t>
      </w:r>
      <w:r w:rsidR="00707BAF">
        <w:t>defining conditions a</w:t>
      </w:r>
      <w:r w:rsidR="00D02AC6">
        <w:t xml:space="preserve">round </w:t>
      </w:r>
      <w:r w:rsidR="00DF6F60">
        <w:t>eligibility</w:t>
      </w:r>
      <w:r w:rsidR="00D02AC6">
        <w:t xml:space="preserve"> for coverage.</w:t>
      </w:r>
      <w:r w:rsidR="00AE4D20">
        <w:t xml:space="preserve"> As a result, the benefits offered by these advanced technologies are limited to certain groups of beneficiaries. </w:t>
      </w:r>
    </w:p>
    <w:p w14:paraId="623339F4" w14:textId="62432D7D" w:rsidR="005F79DB" w:rsidRPr="005F79DB" w:rsidRDefault="00707BAF" w:rsidP="006C376B">
      <w:pPr>
        <w:spacing w:before="120" w:after="0" w:line="240" w:lineRule="auto"/>
        <w:jc w:val="both"/>
        <w:rPr>
          <w:iCs/>
        </w:rPr>
      </w:pPr>
      <w:r>
        <w:t xml:space="preserve">A primary limitation is the originating site restriction, which </w:t>
      </w:r>
      <w:r w:rsidR="00EB3A01">
        <w:t>require</w:t>
      </w:r>
      <w:r>
        <w:t>s the patient receiving the telehealth service t</w:t>
      </w:r>
      <w:r w:rsidR="00EB3A01">
        <w:t xml:space="preserve">o </w:t>
      </w:r>
      <w:r w:rsidR="00396E25" w:rsidRPr="00EB3A01">
        <w:t xml:space="preserve">be in </w:t>
      </w:r>
      <w:r w:rsidR="00396E25" w:rsidRPr="00EB3A01">
        <w:rPr>
          <w:iCs/>
        </w:rPr>
        <w:t xml:space="preserve">specific sites and geographic regions </w:t>
      </w:r>
      <w:r>
        <w:rPr>
          <w:iCs/>
        </w:rPr>
        <w:t xml:space="preserve">to qualify for Medicare coverage. </w:t>
      </w:r>
      <w:r w:rsidR="00396E25" w:rsidRPr="00EB3A01">
        <w:rPr>
          <w:iCs/>
        </w:rPr>
        <w:t xml:space="preserve">Generally, covered telehealth services must be provided in rural areas as determined by </w:t>
      </w:r>
      <w:r w:rsidR="000B1178">
        <w:rPr>
          <w:iCs/>
        </w:rPr>
        <w:t>HHS.</w:t>
      </w:r>
      <w:r w:rsidR="00396E25" w:rsidRPr="00EB3A01">
        <w:rPr>
          <w:iCs/>
        </w:rPr>
        <w:t> </w:t>
      </w:r>
      <w:r w:rsidR="00AE4D20">
        <w:t xml:space="preserve"> </w:t>
      </w:r>
    </w:p>
    <w:p w14:paraId="1CD73997" w14:textId="0F3D1933" w:rsidR="003B5229" w:rsidRDefault="008268EA" w:rsidP="005F79DB">
      <w:pPr>
        <w:spacing w:before="240"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Policy </w:t>
      </w:r>
      <w:r w:rsidR="003B5229" w:rsidRPr="003B5229">
        <w:rPr>
          <w:b/>
          <w:i/>
          <w:iCs/>
        </w:rPr>
        <w:t>Impact</w:t>
      </w:r>
    </w:p>
    <w:p w14:paraId="1CD73998" w14:textId="4E195435" w:rsidR="003B5229" w:rsidRPr="003B5229" w:rsidRDefault="00707BAF" w:rsidP="006C376B">
      <w:pPr>
        <w:spacing w:before="120" w:after="0" w:line="240" w:lineRule="auto"/>
        <w:jc w:val="both"/>
      </w:pPr>
      <w:r>
        <w:rPr>
          <w:iCs/>
        </w:rPr>
        <w:t xml:space="preserve">The impact of Section 1834(m) restrictions is far-reaching and widely felt, and will be increasingly consequential </w:t>
      </w:r>
      <w:r w:rsidR="003B5229">
        <w:rPr>
          <w:iCs/>
        </w:rPr>
        <w:t xml:space="preserve">with the influx of beneficiaries as </w:t>
      </w:r>
      <w:r w:rsidR="003B5229" w:rsidRPr="003B5229">
        <w:rPr>
          <w:rStyle w:val="Emphasis"/>
          <w:i w:val="0"/>
        </w:rPr>
        <w:t>baby boomers</w:t>
      </w:r>
      <w:r w:rsidR="003B5229">
        <w:rPr>
          <w:rStyle w:val="st"/>
        </w:rPr>
        <w:t xml:space="preserve"> retire. As a result of </w:t>
      </w:r>
      <w:r w:rsidR="006C376B">
        <w:rPr>
          <w:rStyle w:val="st"/>
        </w:rPr>
        <w:t>Medicare’s</w:t>
      </w:r>
      <w:r w:rsidR="003B5229">
        <w:rPr>
          <w:rStyle w:val="st"/>
        </w:rPr>
        <w:t xml:space="preserve"> existing reimbursement policy: </w:t>
      </w:r>
    </w:p>
    <w:p w14:paraId="1CD73999" w14:textId="77777777" w:rsidR="00707BAF" w:rsidRPr="003B5229" w:rsidRDefault="00707BAF" w:rsidP="006C376B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iCs/>
        </w:rPr>
      </w:pPr>
      <w:r w:rsidRPr="003B5229">
        <w:rPr>
          <w:iCs/>
        </w:rPr>
        <w:t xml:space="preserve">No  coverage  for  about  80%  of  Medicare  beneficiaries  who  live  in  the  1,200  metropolitan counties not included in the definition of “rural.” </w:t>
      </w:r>
    </w:p>
    <w:p w14:paraId="1CD7399A" w14:textId="77777777" w:rsidR="00707BAF" w:rsidRPr="003B5229" w:rsidRDefault="00707BAF" w:rsidP="006C376B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iCs/>
        </w:rPr>
      </w:pPr>
      <w:r w:rsidRPr="003B5229">
        <w:rPr>
          <w:iCs/>
        </w:rPr>
        <w:t xml:space="preserve">No coverage for “store‐and‐forward” services (such as transmission of medical images) for the 43 million beneficiaries who live outside of Alaska and Hawaii. </w:t>
      </w:r>
    </w:p>
    <w:p w14:paraId="1CD7399B" w14:textId="77777777" w:rsidR="00707BAF" w:rsidRPr="003B5229" w:rsidRDefault="00707BAF" w:rsidP="006C376B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iCs/>
        </w:rPr>
      </w:pPr>
      <w:r w:rsidRPr="003B5229">
        <w:rPr>
          <w:iCs/>
        </w:rPr>
        <w:t>No coverage for services originating from a beneficiary’s home (even for the “homebound”), a hospice and other common non‐medical locations from which a beneficiary seeks service.</w:t>
      </w:r>
    </w:p>
    <w:p w14:paraId="1CD7399C" w14:textId="77777777" w:rsidR="00707BAF" w:rsidRPr="003B5229" w:rsidRDefault="00707BAF" w:rsidP="006C376B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iCs/>
        </w:rPr>
      </w:pPr>
      <w:r w:rsidRPr="003B5229">
        <w:rPr>
          <w:iCs/>
        </w:rPr>
        <w:t>No coverage for otherwise covered Medicare services of physical therapy, occupational therapy, speech‐language pathology, audiology and some other practitioners.</w:t>
      </w:r>
    </w:p>
    <w:p w14:paraId="1CD7399D" w14:textId="769645F6" w:rsidR="00707BAF" w:rsidRPr="003B5229" w:rsidRDefault="00707BAF" w:rsidP="006C376B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iCs/>
        </w:rPr>
      </w:pPr>
      <w:r w:rsidRPr="003B5229">
        <w:rPr>
          <w:iCs/>
        </w:rPr>
        <w:t xml:space="preserve">No coverage for most health procedure codes, precluding the best judgment of physicians and  other  practitioners  about  the  medical  needs  and  other  circumstances  of  beneficiaries.  </w:t>
      </w:r>
    </w:p>
    <w:p w14:paraId="1CD739A3" w14:textId="77777777" w:rsidR="006A0560" w:rsidRPr="003B5229" w:rsidRDefault="006A0560" w:rsidP="005F79DB">
      <w:pPr>
        <w:spacing w:before="240" w:after="0" w:line="240" w:lineRule="auto"/>
        <w:jc w:val="both"/>
        <w:rPr>
          <w:b/>
          <w:i/>
          <w:iCs/>
        </w:rPr>
      </w:pPr>
      <w:r w:rsidRPr="003B5229">
        <w:rPr>
          <w:b/>
          <w:i/>
          <w:iCs/>
        </w:rPr>
        <w:t>Reform is Long Overdue</w:t>
      </w:r>
    </w:p>
    <w:p w14:paraId="61293EEB" w14:textId="13763332" w:rsidR="000B1178" w:rsidRDefault="00483061" w:rsidP="006C376B">
      <w:pPr>
        <w:spacing w:before="120" w:after="0" w:line="240" w:lineRule="auto"/>
        <w:jc w:val="both"/>
      </w:pPr>
      <w:r>
        <w:t>P</w:t>
      </w:r>
      <w:r w:rsidR="006A0560">
        <w:t>artial Medicare reimbursement for telehealth services was authorized in the Balanced Budget Act of 1997 (BBA). The scope of the original policy was</w:t>
      </w:r>
      <w:r w:rsidR="000B1178">
        <w:t xml:space="preserve"> then expanded through </w:t>
      </w:r>
      <w:r w:rsidR="006A0560">
        <w:t xml:space="preserve">the Benefits Improvement and Protection Act of 2000 (BIPA), which removed some of the prior constraints, yet maintained </w:t>
      </w:r>
      <w:r w:rsidR="00163C69">
        <w:t>significant restrictions</w:t>
      </w:r>
      <w:r w:rsidR="006A0560">
        <w:t xml:space="preserve"> on geographic location, originating sites, and eligible telehealth services</w:t>
      </w:r>
      <w:r w:rsidR="002B5D9F">
        <w:t>.</w:t>
      </w:r>
      <w:r w:rsidR="00163C69">
        <w:t xml:space="preserve"> </w:t>
      </w:r>
    </w:p>
    <w:p w14:paraId="1CD739A4" w14:textId="3896CE12" w:rsidR="00FF6A1C" w:rsidRDefault="003B5229" w:rsidP="006C376B">
      <w:pPr>
        <w:spacing w:before="120" w:after="0" w:line="240" w:lineRule="auto"/>
        <w:jc w:val="both"/>
      </w:pPr>
      <w:r>
        <w:t>It has been 15 years since policymakers have updated the 1834(m) statute</w:t>
      </w:r>
      <w:r w:rsidR="00483061">
        <w:t xml:space="preserve"> a</w:t>
      </w:r>
      <w:r>
        <w:t>nd in that time</w:t>
      </w:r>
      <w:r w:rsidR="0066391D">
        <w:t xml:space="preserve">, </w:t>
      </w:r>
      <w:r w:rsidR="00FF6A1C">
        <w:t>advanced technologies have rapidly proliferated</w:t>
      </w:r>
      <w:r>
        <w:t xml:space="preserve"> and given</w:t>
      </w:r>
      <w:r w:rsidR="0066391D">
        <w:t xml:space="preserve"> </w:t>
      </w:r>
      <w:r w:rsidR="002B5D9F">
        <w:t xml:space="preserve">rise to </w:t>
      </w:r>
      <w:r w:rsidR="00271B84">
        <w:t>a</w:t>
      </w:r>
      <w:r w:rsidR="00FF6A1C">
        <w:t xml:space="preserve"> revolution</w:t>
      </w:r>
      <w:r w:rsidR="00271B84">
        <w:t xml:space="preserve"> in </w:t>
      </w:r>
      <w:r w:rsidR="00FF6A1C">
        <w:t xml:space="preserve">the </w:t>
      </w:r>
      <w:r w:rsidR="00271B84">
        <w:t>health care sector</w:t>
      </w:r>
      <w:r w:rsidR="0066391D">
        <w:t xml:space="preserve">. </w:t>
      </w:r>
      <w:r>
        <w:t>Technological advancements, like v</w:t>
      </w:r>
      <w:r w:rsidR="00483061">
        <w:t>ideoconferencing</w:t>
      </w:r>
      <w:r>
        <w:t xml:space="preserve">, have brought </w:t>
      </w:r>
      <w:r w:rsidR="00483061">
        <w:t>new modalities of health care delivery, extending provider reac</w:t>
      </w:r>
      <w:r>
        <w:t>h and expanding patient access. P</w:t>
      </w:r>
      <w:r w:rsidR="00483061">
        <w:t>a</w:t>
      </w:r>
      <w:r w:rsidR="00442C1D">
        <w:t>tient portals, mobile apps, electronic health records</w:t>
      </w:r>
      <w:r w:rsidR="0066391D">
        <w:t>,</w:t>
      </w:r>
      <w:r w:rsidR="002961CF">
        <w:t xml:space="preserve"> and</w:t>
      </w:r>
      <w:r w:rsidR="00442C1D">
        <w:t xml:space="preserve"> remote patient</w:t>
      </w:r>
      <w:r w:rsidR="00483061">
        <w:t xml:space="preserve"> monitoring</w:t>
      </w:r>
      <w:r w:rsidR="00442C1D">
        <w:t xml:space="preserve"> </w:t>
      </w:r>
      <w:r w:rsidR="0066391D">
        <w:t xml:space="preserve">have </w:t>
      </w:r>
      <w:r w:rsidR="00483061">
        <w:rPr>
          <w:rStyle w:val="st"/>
        </w:rPr>
        <w:t>unleashed new</w:t>
      </w:r>
      <w:r w:rsidR="00466E08">
        <w:rPr>
          <w:rStyle w:val="st"/>
        </w:rPr>
        <w:t xml:space="preserve"> opportunities for</w:t>
      </w:r>
      <w:r w:rsidR="0066391D">
        <w:rPr>
          <w:rStyle w:val="st"/>
        </w:rPr>
        <w:t xml:space="preserve"> </w:t>
      </w:r>
      <w:r w:rsidR="001E5089">
        <w:rPr>
          <w:rStyle w:val="st"/>
        </w:rPr>
        <w:t xml:space="preserve">increased transparency and </w:t>
      </w:r>
      <w:r w:rsidR="00466E08">
        <w:rPr>
          <w:rStyle w:val="st"/>
        </w:rPr>
        <w:t>patient engagement</w:t>
      </w:r>
      <w:r>
        <w:rPr>
          <w:rStyle w:val="st"/>
        </w:rPr>
        <w:t>.</w:t>
      </w:r>
    </w:p>
    <w:p w14:paraId="1CD739A6" w14:textId="77777777" w:rsidR="00F34A66" w:rsidRPr="003B5229" w:rsidRDefault="00F34A66" w:rsidP="005F79DB">
      <w:pPr>
        <w:spacing w:before="240" w:after="0" w:line="240" w:lineRule="auto"/>
        <w:jc w:val="both"/>
        <w:rPr>
          <w:b/>
          <w:i/>
        </w:rPr>
      </w:pPr>
      <w:r w:rsidRPr="003B5229">
        <w:rPr>
          <w:b/>
          <w:i/>
        </w:rPr>
        <w:t xml:space="preserve">Consumer Demand and Marketplace Growth </w:t>
      </w:r>
    </w:p>
    <w:p w14:paraId="7E06DF48" w14:textId="77777777" w:rsidR="0079186B" w:rsidRDefault="00EB5979" w:rsidP="006C376B">
      <w:pPr>
        <w:spacing w:before="120" w:after="0" w:line="240" w:lineRule="auto"/>
        <w:jc w:val="both"/>
      </w:pPr>
      <w:r>
        <w:t>At the same time, c</w:t>
      </w:r>
      <w:r w:rsidR="002B5D9F">
        <w:t xml:space="preserve">onsumer attitudes and behaviors </w:t>
      </w:r>
      <w:r>
        <w:t>are evolving</w:t>
      </w:r>
      <w:r w:rsidR="00B11564">
        <w:t>.</w:t>
      </w:r>
      <w:r w:rsidR="00483061">
        <w:t xml:space="preserve"> </w:t>
      </w:r>
      <w:r w:rsidR="007B5740">
        <w:t xml:space="preserve">According to a </w:t>
      </w:r>
      <w:r w:rsidR="00F34A66">
        <w:t xml:space="preserve">December 2014 </w:t>
      </w:r>
      <w:r w:rsidR="007B5740">
        <w:t>survey, the majority of consumer</w:t>
      </w:r>
      <w:r w:rsidR="00F34A66">
        <w:t>s</w:t>
      </w:r>
      <w:r w:rsidR="007B5740">
        <w:t xml:space="preserve"> would see a doctor a via a telehealth video consultation. Interest among the millennial generation was </w:t>
      </w:r>
      <w:r w:rsidR="00F34A66">
        <w:t xml:space="preserve">highest, </w:t>
      </w:r>
      <w:r w:rsidR="007B5740">
        <w:t xml:space="preserve">with 74 percent young adults 18-34 years old </w:t>
      </w:r>
      <w:r w:rsidR="00F34A66">
        <w:t>reporting t</w:t>
      </w:r>
      <w:r w:rsidR="007B5740">
        <w:t xml:space="preserve">hey would use </w:t>
      </w:r>
      <w:r w:rsidR="00F34A66">
        <w:t>telehealth video consultation</w:t>
      </w:r>
      <w:r w:rsidR="00A066CA">
        <w:t xml:space="preserve">. </w:t>
      </w:r>
      <w:r w:rsidR="003B5229">
        <w:t>T</w:t>
      </w:r>
      <w:r w:rsidR="00F34A66">
        <w:t>he same survey found that telehealth is preferred to in-person visits in certain instances, with</w:t>
      </w:r>
      <w:r w:rsidR="00163C69">
        <w:t xml:space="preserve"> 70 percent of consumers reporting </w:t>
      </w:r>
      <w:r w:rsidR="00F34A66">
        <w:t xml:space="preserve">that they’d rather have an online video visit than an in-office visit to obtain </w:t>
      </w:r>
      <w:r w:rsidR="00F34A66">
        <w:lastRenderedPageBreak/>
        <w:t xml:space="preserve">common primary care prescriptions. Consumers </w:t>
      </w:r>
      <w:r w:rsidR="00163C69">
        <w:t xml:space="preserve">also </w:t>
      </w:r>
      <w:r w:rsidR="00F34A66">
        <w:t>indicate</w:t>
      </w:r>
      <w:r w:rsidR="00163C69">
        <w:t>d</w:t>
      </w:r>
      <w:r w:rsidR="00F34A66">
        <w:t xml:space="preserve"> interest in telehealth visits for getting prescriptions refilled (60 percent), antibiotics (41 percent), and chronic condition management medication (40 percent).</w:t>
      </w:r>
      <w:r w:rsidR="00F34A66">
        <w:rPr>
          <w:rStyle w:val="FootnoteReference"/>
        </w:rPr>
        <w:footnoteReference w:id="2"/>
      </w:r>
      <w:r w:rsidR="00F34A66">
        <w:t xml:space="preserve"> </w:t>
      </w:r>
      <w:r w:rsidR="00163C69">
        <w:t xml:space="preserve"> </w:t>
      </w:r>
    </w:p>
    <w:p w14:paraId="1CD739A7" w14:textId="1B18C669" w:rsidR="00F34A66" w:rsidRPr="00DE1EF7" w:rsidRDefault="00F34A66" w:rsidP="006C376B">
      <w:pPr>
        <w:spacing w:before="120" w:after="0" w:line="240" w:lineRule="auto"/>
        <w:jc w:val="both"/>
      </w:pPr>
      <w:r>
        <w:t>The growing consumer</w:t>
      </w:r>
      <w:r w:rsidR="00163C69">
        <w:t xml:space="preserve"> interest has driven explosive</w:t>
      </w:r>
      <w:r>
        <w:t xml:space="preserve"> marketplace growth. According to a </w:t>
      </w:r>
      <w:r w:rsidR="006C376B">
        <w:t xml:space="preserve">2015 </w:t>
      </w:r>
      <w:r w:rsidRPr="00163C69">
        <w:t xml:space="preserve">report </w:t>
      </w:r>
      <w:r>
        <w:t>by BBC Research</w:t>
      </w:r>
      <w:r w:rsidR="00163C69">
        <w:t>,</w:t>
      </w:r>
      <w:r>
        <w:t xml:space="preserve"> the telehealth market reached $16.3 billion in 2013 and $19.2 </w:t>
      </w:r>
      <w:r w:rsidRPr="00DE1EF7">
        <w:t>billion in 2014. By 2019, the market is expecte</w:t>
      </w:r>
      <w:r w:rsidR="00163C69">
        <w:t>d to increase to $43.4 billion—which is a</w:t>
      </w:r>
      <w:r w:rsidRPr="00DE1EF7">
        <w:t xml:space="preserve"> five year compound annual growth rate of 17.7 percent.</w:t>
      </w:r>
      <w:r w:rsidRPr="00DE1EF7">
        <w:rPr>
          <w:rStyle w:val="FootnoteReference"/>
        </w:rPr>
        <w:footnoteReference w:id="3"/>
      </w:r>
    </w:p>
    <w:p w14:paraId="1CD739A9" w14:textId="77777777" w:rsidR="00F34A66" w:rsidRPr="00163C69" w:rsidRDefault="00F34A66" w:rsidP="005F79DB">
      <w:pPr>
        <w:spacing w:before="240" w:after="0" w:line="240" w:lineRule="auto"/>
        <w:jc w:val="both"/>
        <w:rPr>
          <w:b/>
          <w:i/>
        </w:rPr>
      </w:pPr>
      <w:r w:rsidRPr="00163C69">
        <w:rPr>
          <w:b/>
          <w:i/>
        </w:rPr>
        <w:t>Evidence</w:t>
      </w:r>
    </w:p>
    <w:p w14:paraId="1CD739AA" w14:textId="77777777" w:rsidR="00DE1EF7" w:rsidRDefault="00B11564" w:rsidP="006C376B">
      <w:pPr>
        <w:spacing w:before="120"/>
        <w:jc w:val="both"/>
        <w:rPr>
          <w:rFonts w:eastAsia="Times New Roman" w:cs="Times New Roman"/>
        </w:rPr>
      </w:pPr>
      <w:r w:rsidRPr="00DE1EF7">
        <w:t xml:space="preserve">The </w:t>
      </w:r>
      <w:r w:rsidR="00163C69">
        <w:t>rapid industry growth h</w:t>
      </w:r>
      <w:r w:rsidRPr="00DE1EF7">
        <w:t xml:space="preserve">as generated a growing body of evidence </w:t>
      </w:r>
      <w:r w:rsidR="00F34A66" w:rsidRPr="00DE1EF7">
        <w:t xml:space="preserve">from the commercial marketplace that </w:t>
      </w:r>
      <w:r w:rsidRPr="00DE1EF7">
        <w:t>demonstrat</w:t>
      </w:r>
      <w:r w:rsidR="00F34A66" w:rsidRPr="00DE1EF7">
        <w:t xml:space="preserve">es </w:t>
      </w:r>
      <w:r w:rsidRPr="00DE1EF7">
        <w:t>the value propo</w:t>
      </w:r>
      <w:r w:rsidR="00F34A66" w:rsidRPr="00DE1EF7">
        <w:t>sition of telehealth and proves</w:t>
      </w:r>
      <w:r w:rsidRPr="00DE1EF7">
        <w:t xml:space="preserve"> that when used appropriately, </w:t>
      </w:r>
      <w:r w:rsidR="00163C69">
        <w:t xml:space="preserve">care delivered via </w:t>
      </w:r>
      <w:r w:rsidR="00D320DF" w:rsidRPr="00DE1EF7">
        <w:t>telehealt</w:t>
      </w:r>
      <w:r w:rsidRPr="00DE1EF7">
        <w:t>h</w:t>
      </w:r>
      <w:r w:rsidR="00F34A66" w:rsidRPr="00DE1EF7">
        <w:t xml:space="preserve"> technologies can </w:t>
      </w:r>
      <w:r w:rsidR="00D320DF" w:rsidRPr="00DE1EF7">
        <w:t xml:space="preserve">displace in-person care for a variety </w:t>
      </w:r>
      <w:r w:rsidR="00DE1EF7" w:rsidRPr="00DE1EF7">
        <w:t>of</w:t>
      </w:r>
      <w:r w:rsidR="00D320DF" w:rsidRPr="00DE1EF7">
        <w:t xml:space="preserve"> common primary health </w:t>
      </w:r>
      <w:r w:rsidR="00163C69">
        <w:t>conditions</w:t>
      </w:r>
      <w:r w:rsidR="00D320DF" w:rsidRPr="00DE1EF7">
        <w:t xml:space="preserve">, such as </w:t>
      </w:r>
      <w:r w:rsidR="00163C69">
        <w:t xml:space="preserve">the flu, </w:t>
      </w:r>
      <w:r w:rsidR="00D320DF" w:rsidRPr="00DE1EF7">
        <w:t xml:space="preserve">sinusitis, </w:t>
      </w:r>
      <w:r w:rsidR="00163C69">
        <w:t>urinary tract infections (</w:t>
      </w:r>
      <w:r w:rsidR="00DE1EF7" w:rsidRPr="00DE1EF7">
        <w:t>UTIs</w:t>
      </w:r>
      <w:r w:rsidR="00163C69">
        <w:t>)</w:t>
      </w:r>
      <w:r w:rsidR="00DE1EF7" w:rsidRPr="00DE1EF7">
        <w:t xml:space="preserve">, and </w:t>
      </w:r>
      <w:r w:rsidR="00D320DF" w:rsidRPr="00DE1EF7">
        <w:t xml:space="preserve">enhance </w:t>
      </w:r>
      <w:r w:rsidR="00DE1EF7" w:rsidRPr="00DE1EF7">
        <w:t>p</w:t>
      </w:r>
      <w:r w:rsidR="00DE1EF7" w:rsidRPr="00DE1EF7">
        <w:rPr>
          <w:rFonts w:eastAsia="Times New Roman" w:cs="Times New Roman"/>
        </w:rPr>
        <w:t xml:space="preserve">re- and post-acute management of chronic conditions, while reducing health care costs and often improving outcomes. </w:t>
      </w:r>
    </w:p>
    <w:p w14:paraId="1CD739AB" w14:textId="6D7553EE" w:rsidR="00163C69" w:rsidRPr="00FC7FE4" w:rsidRDefault="00163C69" w:rsidP="006C376B">
      <w:pPr>
        <w:spacing w:before="120" w:after="0" w:line="240" w:lineRule="auto"/>
        <w:jc w:val="both"/>
      </w:pPr>
      <w:r>
        <w:rPr>
          <w:rFonts w:eastAsia="Times New Roman" w:cs="Times New Roman"/>
        </w:rPr>
        <w:t xml:space="preserve">For instance, </w:t>
      </w:r>
      <w:r w:rsidRPr="00FC7FE4">
        <w:t xml:space="preserve">one </w:t>
      </w:r>
      <w:r>
        <w:t xml:space="preserve">recent </w:t>
      </w:r>
      <w:r w:rsidRPr="00FC7FE4">
        <w:t xml:space="preserve">analysis </w:t>
      </w:r>
      <w:r w:rsidR="0079186B">
        <w:t xml:space="preserve">that </w:t>
      </w:r>
      <w:r w:rsidRPr="00FC7FE4">
        <w:t xml:space="preserve">combined </w:t>
      </w:r>
      <w:r>
        <w:t xml:space="preserve">data </w:t>
      </w:r>
      <w:r w:rsidR="0079186B">
        <w:t>from</w:t>
      </w:r>
      <w:r>
        <w:t xml:space="preserve"> five telehealth</w:t>
      </w:r>
      <w:r w:rsidR="0079186B">
        <w:t xml:space="preserve"> providers</w:t>
      </w:r>
      <w:r w:rsidRPr="00FC7FE4">
        <w:t xml:space="preserve"> in the commercial sector and extrapolate</w:t>
      </w:r>
      <w:r w:rsidR="0079186B">
        <w:t>d</w:t>
      </w:r>
      <w:r w:rsidRPr="00FC7FE4">
        <w:t xml:space="preserve"> the likely impact of telehealth payment on Medicare expenditures </w:t>
      </w:r>
      <w:r w:rsidR="0079186B">
        <w:t>found</w:t>
      </w:r>
      <w:r>
        <w:t xml:space="preserve"> that</w:t>
      </w:r>
      <w:r w:rsidRPr="00FC7FE4">
        <w:t>:</w:t>
      </w:r>
      <w:r w:rsidR="00FB6B7A">
        <w:rPr>
          <w:rStyle w:val="FootnoteReference"/>
        </w:rPr>
        <w:footnoteReference w:id="4"/>
      </w:r>
      <w:r w:rsidRPr="00FC7FE4">
        <w:t xml:space="preserve"> </w:t>
      </w:r>
    </w:p>
    <w:p w14:paraId="1CD739AD" w14:textId="77777777" w:rsidR="00163C69" w:rsidRPr="00FC7FE4" w:rsidRDefault="00163C69" w:rsidP="005F79DB">
      <w:pPr>
        <w:pStyle w:val="ListParagraph"/>
        <w:numPr>
          <w:ilvl w:val="0"/>
          <w:numId w:val="21"/>
        </w:numPr>
        <w:spacing w:before="240" w:after="0" w:line="240" w:lineRule="auto"/>
        <w:jc w:val="both"/>
      </w:pPr>
      <w:r w:rsidRPr="00FC7FE4">
        <w:t>Despite their convenience, commercial telehealth services are not used excessively. The average number of telehealth visits across vendors was 1.3 visits per patient per year.</w:t>
      </w:r>
    </w:p>
    <w:p w14:paraId="1CD739AF" w14:textId="28AABD23" w:rsidR="00163C69" w:rsidRPr="00FC7FE4" w:rsidRDefault="00163C69" w:rsidP="005F79DB">
      <w:pPr>
        <w:pStyle w:val="ListParagraph"/>
        <w:numPr>
          <w:ilvl w:val="0"/>
          <w:numId w:val="21"/>
        </w:numPr>
        <w:spacing w:before="240" w:after="0" w:line="240" w:lineRule="auto"/>
        <w:jc w:val="both"/>
      </w:pPr>
      <w:r w:rsidRPr="00FC7FE4">
        <w:t>Medicare could realize savings by replacing in-person acute care services with a telehealth visit reimbursed at the same rate as a doctor’s visit. The study found that replacing in-person acute care services with a telehealth visit reimbursed at the same rate as a doctor’s office visit could save the Med</w:t>
      </w:r>
      <w:r w:rsidR="006C376B">
        <w:t>i</w:t>
      </w:r>
      <w:r w:rsidRPr="00FC7FE4">
        <w:t>care program an estimated $45/visit.</w:t>
      </w:r>
    </w:p>
    <w:p w14:paraId="1CD739B1" w14:textId="77777777" w:rsidR="00163C69" w:rsidRDefault="00163C69" w:rsidP="005F79DB">
      <w:pPr>
        <w:pStyle w:val="ListParagraph"/>
        <w:numPr>
          <w:ilvl w:val="0"/>
          <w:numId w:val="21"/>
        </w:numPr>
        <w:spacing w:before="240" w:after="0" w:line="240" w:lineRule="auto"/>
        <w:jc w:val="both"/>
      </w:pPr>
      <w:r w:rsidRPr="00FC7FE4">
        <w:t xml:space="preserve">“Induced utilization” by those people who use telehealth services instead of forgoing care altogether is unlikely to result in increased total costs to the Medicare program. </w:t>
      </w:r>
    </w:p>
    <w:p w14:paraId="1CD739B3" w14:textId="65C41AD3" w:rsidR="00163C69" w:rsidRPr="00FC7FE4" w:rsidRDefault="00163C69" w:rsidP="005F79DB">
      <w:pPr>
        <w:pStyle w:val="ListParagraph"/>
        <w:numPr>
          <w:ilvl w:val="0"/>
          <w:numId w:val="21"/>
        </w:numPr>
        <w:spacing w:before="240" w:after="0" w:line="240" w:lineRule="auto"/>
        <w:jc w:val="both"/>
      </w:pPr>
      <w:r w:rsidRPr="00FC7FE4">
        <w:t xml:space="preserve">Medicare will only realize losses as a result of making telehealth services available if the percent of Medicare patients </w:t>
      </w:r>
      <w:r w:rsidR="006C376B">
        <w:t>using</w:t>
      </w:r>
      <w:r w:rsidRPr="00FC7FE4">
        <w:t xml:space="preserve"> telehealth who would have otherwise “done nothing” i</w:t>
      </w:r>
      <w:r w:rsidR="006C376B">
        <w:t xml:space="preserve">ncreases to more than 32.8%; </w:t>
      </w:r>
      <w:r w:rsidRPr="00FC7FE4">
        <w:t>this is unlikely given that th</w:t>
      </w:r>
      <w:r w:rsidR="006C376B">
        <w:t>e equivalent</w:t>
      </w:r>
      <w:r w:rsidRPr="00FC7FE4">
        <w:t xml:space="preserve"> </w:t>
      </w:r>
      <w:r w:rsidR="006C376B">
        <w:t>proportion</w:t>
      </w:r>
      <w:r w:rsidRPr="00FC7FE4">
        <w:t xml:space="preserve"> is currently 13% in the commercial market</w:t>
      </w:r>
      <w:r w:rsidR="00FB6B7A">
        <w:t>.</w:t>
      </w:r>
    </w:p>
    <w:p w14:paraId="1CD739B5" w14:textId="77777777" w:rsidR="00A066CA" w:rsidRPr="00163C69" w:rsidRDefault="00DF21D3" w:rsidP="005F79DB">
      <w:pPr>
        <w:tabs>
          <w:tab w:val="left" w:pos="6315"/>
        </w:tabs>
        <w:spacing w:before="240" w:after="0" w:line="240" w:lineRule="auto"/>
        <w:jc w:val="both"/>
        <w:rPr>
          <w:b/>
          <w:i/>
        </w:rPr>
      </w:pPr>
      <w:r w:rsidRPr="00163C69">
        <w:rPr>
          <w:b/>
          <w:i/>
        </w:rPr>
        <w:t xml:space="preserve">A New Baseline </w:t>
      </w:r>
    </w:p>
    <w:p w14:paraId="1CD739B6" w14:textId="2E3D8408" w:rsidR="005F768D" w:rsidRDefault="00DE1EF7" w:rsidP="006C376B">
      <w:pPr>
        <w:spacing w:before="120" w:after="0" w:line="240" w:lineRule="auto"/>
        <w:jc w:val="both"/>
      </w:pPr>
      <w:r>
        <w:t>The existing statutory and regulatory framework hinder</w:t>
      </w:r>
      <w:r w:rsidR="006C376B">
        <w:t>s</w:t>
      </w:r>
      <w:r>
        <w:t xml:space="preserve"> </w:t>
      </w:r>
      <w:r w:rsidR="00D45114">
        <w:t>providers’</w:t>
      </w:r>
      <w:r>
        <w:t xml:space="preserve"> ability to better manage care and treat </w:t>
      </w:r>
      <w:r w:rsidR="0079186B">
        <w:t xml:space="preserve">beneficiaries </w:t>
      </w:r>
      <w:r>
        <w:t xml:space="preserve">in less costly care settings and is </w:t>
      </w:r>
      <w:r w:rsidR="00FF6A1C">
        <w:t>fundamentally incompatible with the technologies to which it applies.</w:t>
      </w:r>
      <w:r w:rsidR="00F34A66">
        <w:t xml:space="preserve"> A new </w:t>
      </w:r>
      <w:r w:rsidR="006C376B">
        <w:t>baseline</w:t>
      </w:r>
      <w:r w:rsidR="005F768D">
        <w:t xml:space="preserve"> is required</w:t>
      </w:r>
      <w:r w:rsidR="00F34A66">
        <w:t>—one tha</w:t>
      </w:r>
      <w:bookmarkStart w:id="0" w:name="_GoBack"/>
      <w:bookmarkEnd w:id="0"/>
      <w:r w:rsidR="00F34A66">
        <w:t xml:space="preserve">t takes </w:t>
      </w:r>
      <w:r w:rsidR="005F768D">
        <w:t xml:space="preserve">into </w:t>
      </w:r>
      <w:r w:rsidR="00F34A66">
        <w:t xml:space="preserve">account </w:t>
      </w:r>
      <w:r w:rsidR="00683290">
        <w:t>the</w:t>
      </w:r>
      <w:r w:rsidR="00DF21D3">
        <w:t xml:space="preserve"> </w:t>
      </w:r>
      <w:r w:rsidR="005F768D">
        <w:t>advancements of the last decade</w:t>
      </w:r>
      <w:r w:rsidR="00252A7D">
        <w:t xml:space="preserve">, new data and evidence, </w:t>
      </w:r>
      <w:r w:rsidR="005F768D">
        <w:t>and the evolving health care ecosystem</w:t>
      </w:r>
      <w:r w:rsidR="00252A7D">
        <w:t xml:space="preserve">.  </w:t>
      </w:r>
      <w:r w:rsidR="005F768D">
        <w:t xml:space="preserve"> </w:t>
      </w:r>
    </w:p>
    <w:p w14:paraId="1CD739BA" w14:textId="5C89901F" w:rsidR="00331404" w:rsidRDefault="005E26FE" w:rsidP="00554ADA">
      <w:pPr>
        <w:spacing w:before="120" w:after="0" w:line="240" w:lineRule="auto"/>
        <w:jc w:val="both"/>
      </w:pPr>
      <w:r>
        <w:t xml:space="preserve">The new baseline eliminates the originating site geographic requirements, lifts restrictions on store-and-forward technologies and </w:t>
      </w:r>
      <w:r w:rsidR="00331404">
        <w:t>ex</w:t>
      </w:r>
      <w:r w:rsidR="00DE1EF7">
        <w:t>pa</w:t>
      </w:r>
      <w:r w:rsidR="00331404">
        <w:t xml:space="preserve">nds the list of providers eligible to treat patients via telehealth. The reimagined framework removes </w:t>
      </w:r>
      <w:r w:rsidR="00DE1EF7">
        <w:t xml:space="preserve">these arbitrary parameters and instead focuses </w:t>
      </w:r>
      <w:r w:rsidR="00331404">
        <w:t xml:space="preserve">on </w:t>
      </w:r>
      <w:r w:rsidR="00DE1EF7">
        <w:t xml:space="preserve">patient </w:t>
      </w:r>
      <w:r w:rsidR="00331404">
        <w:t>outcome</w:t>
      </w:r>
      <w:r w:rsidR="00252A7D">
        <w:t>s</w:t>
      </w:r>
      <w:r w:rsidR="00331404">
        <w:t xml:space="preserve">, consistent with the larger </w:t>
      </w:r>
      <w:r w:rsidR="00163C69">
        <w:t>paradigm sh</w:t>
      </w:r>
      <w:r w:rsidR="00252A7D">
        <w:t>ift value-based case by setting.</w:t>
      </w:r>
    </w:p>
    <w:p w14:paraId="1CD739BB" w14:textId="77777777" w:rsidR="00331404" w:rsidRDefault="00331404" w:rsidP="006C376B">
      <w:pPr>
        <w:spacing w:after="0" w:line="240" w:lineRule="auto"/>
        <w:jc w:val="both"/>
      </w:pPr>
    </w:p>
    <w:sectPr w:rsidR="00331404" w:rsidSect="006C376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11ADE" w14:textId="77777777" w:rsidR="00FC3056" w:rsidRDefault="00FC3056" w:rsidP="003E6EA0">
      <w:pPr>
        <w:spacing w:after="0" w:line="240" w:lineRule="auto"/>
      </w:pPr>
      <w:r>
        <w:separator/>
      </w:r>
    </w:p>
  </w:endnote>
  <w:endnote w:type="continuationSeparator" w:id="0">
    <w:p w14:paraId="2415311D" w14:textId="77777777" w:rsidR="00FC3056" w:rsidRDefault="00FC3056" w:rsidP="003E6EA0">
      <w:pPr>
        <w:spacing w:after="0" w:line="240" w:lineRule="auto"/>
      </w:pPr>
      <w:r>
        <w:continuationSeparator/>
      </w:r>
    </w:p>
  </w:endnote>
  <w:endnote w:type="continuationNotice" w:id="1">
    <w:p w14:paraId="03833AFC" w14:textId="77777777" w:rsidR="00FC3056" w:rsidRDefault="00FC30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F73B4" w14:textId="77777777" w:rsidR="00FC3056" w:rsidRDefault="00FC3056" w:rsidP="003E6EA0">
      <w:pPr>
        <w:spacing w:after="0" w:line="240" w:lineRule="auto"/>
      </w:pPr>
      <w:r>
        <w:separator/>
      </w:r>
    </w:p>
  </w:footnote>
  <w:footnote w:type="continuationSeparator" w:id="0">
    <w:p w14:paraId="24171453" w14:textId="77777777" w:rsidR="00FC3056" w:rsidRDefault="00FC3056" w:rsidP="003E6EA0">
      <w:pPr>
        <w:spacing w:after="0" w:line="240" w:lineRule="auto"/>
      </w:pPr>
      <w:r>
        <w:continuationSeparator/>
      </w:r>
    </w:p>
  </w:footnote>
  <w:footnote w:type="continuationNotice" w:id="1">
    <w:p w14:paraId="7FBC3F36" w14:textId="77777777" w:rsidR="00FC3056" w:rsidRDefault="00FC3056">
      <w:pPr>
        <w:spacing w:after="0" w:line="240" w:lineRule="auto"/>
      </w:pPr>
    </w:p>
  </w:footnote>
  <w:footnote w:id="2">
    <w:p w14:paraId="1CD739C6" w14:textId="43580F92" w:rsidR="00FB6B7A" w:rsidRPr="005F79DB" w:rsidRDefault="00FB6B7A">
      <w:pPr>
        <w:pStyle w:val="FootnoteText"/>
        <w:rPr>
          <w:sz w:val="18"/>
        </w:rPr>
      </w:pPr>
      <w:r w:rsidRPr="005F79DB">
        <w:rPr>
          <w:rStyle w:val="FootnoteReference"/>
          <w:sz w:val="18"/>
        </w:rPr>
        <w:footnoteRef/>
      </w:r>
      <w:r w:rsidRPr="005F79DB">
        <w:rPr>
          <w:sz w:val="18"/>
        </w:rPr>
        <w:t xml:space="preserve"> American Well Press Release, “American Well® 2015 Telehealth Survey: 64% of Consumers Would See a Doctor </w:t>
      </w:r>
      <w:proofErr w:type="gramStart"/>
      <w:r w:rsidRPr="005F79DB">
        <w:rPr>
          <w:sz w:val="18"/>
        </w:rPr>
        <w:t>Via</w:t>
      </w:r>
      <w:proofErr w:type="gramEnd"/>
      <w:r w:rsidRPr="005F79DB">
        <w:rPr>
          <w:sz w:val="18"/>
        </w:rPr>
        <w:t xml:space="preserve"> Video.” United States Census Bureau and Harris Poll Data, Harris Poll. Available here: </w:t>
      </w:r>
      <w:hyperlink r:id="rId1" w:history="1">
        <w:r w:rsidRPr="005F79DB">
          <w:rPr>
            <w:rStyle w:val="Hyperlink"/>
            <w:sz w:val="18"/>
          </w:rPr>
          <w:t>http://bit.ly/1GIhyVe</w:t>
        </w:r>
      </w:hyperlink>
      <w:r w:rsidRPr="005F79DB">
        <w:rPr>
          <w:sz w:val="18"/>
        </w:rPr>
        <w:t xml:space="preserve"> </w:t>
      </w:r>
    </w:p>
  </w:footnote>
  <w:footnote w:id="3">
    <w:p w14:paraId="1CD739C7" w14:textId="77777777" w:rsidR="00FB6B7A" w:rsidRPr="005F79DB" w:rsidRDefault="00FB6B7A" w:rsidP="00F34A66">
      <w:pPr>
        <w:pStyle w:val="FootnoteText"/>
        <w:rPr>
          <w:sz w:val="18"/>
        </w:rPr>
      </w:pPr>
      <w:r w:rsidRPr="005F79DB">
        <w:rPr>
          <w:rStyle w:val="FootnoteReference"/>
          <w:sz w:val="18"/>
        </w:rPr>
        <w:footnoteRef/>
      </w:r>
      <w:r w:rsidRPr="005F79DB">
        <w:rPr>
          <w:sz w:val="18"/>
        </w:rPr>
        <w:t xml:space="preserve"> </w:t>
      </w:r>
      <w:proofErr w:type="spellStart"/>
      <w:r w:rsidRPr="005F79DB">
        <w:rPr>
          <w:sz w:val="18"/>
        </w:rPr>
        <w:t>Mcaskill</w:t>
      </w:r>
      <w:proofErr w:type="spellEnd"/>
      <w:r w:rsidRPr="005F79DB">
        <w:rPr>
          <w:sz w:val="18"/>
        </w:rPr>
        <w:t xml:space="preserve">, Ryan, “Telehealth Market Poised for Multi-Billion Dollar Expansion.” </w:t>
      </w:r>
      <w:proofErr w:type="spellStart"/>
      <w:r w:rsidRPr="005F79DB">
        <w:rPr>
          <w:sz w:val="18"/>
        </w:rPr>
        <w:t>mHealthIntelligence</w:t>
      </w:r>
      <w:proofErr w:type="spellEnd"/>
      <w:r w:rsidRPr="005F79DB">
        <w:rPr>
          <w:sz w:val="18"/>
        </w:rPr>
        <w:t xml:space="preserve">, Feb. 12, 2015. Available here: </w:t>
      </w:r>
      <w:hyperlink r:id="rId2" w:history="1">
        <w:r w:rsidRPr="005F79DB">
          <w:rPr>
            <w:rStyle w:val="Hyperlink"/>
            <w:sz w:val="18"/>
          </w:rPr>
          <w:t>http://bit.ly/1B3xd2n</w:t>
        </w:r>
      </w:hyperlink>
      <w:r w:rsidRPr="005F79DB">
        <w:rPr>
          <w:sz w:val="18"/>
        </w:rPr>
        <w:t xml:space="preserve"> </w:t>
      </w:r>
    </w:p>
  </w:footnote>
  <w:footnote w:id="4">
    <w:p w14:paraId="5B08CDC2" w14:textId="1C004825" w:rsidR="00FB6B7A" w:rsidRDefault="00FB6B7A" w:rsidP="00FB6B7A">
      <w:pPr>
        <w:pStyle w:val="FootnoteText"/>
      </w:pPr>
      <w:r w:rsidRPr="005F79DB">
        <w:rPr>
          <w:rStyle w:val="FootnoteReference"/>
          <w:sz w:val="18"/>
        </w:rPr>
        <w:footnoteRef/>
      </w:r>
      <w:r w:rsidRPr="005F79DB">
        <w:rPr>
          <w:sz w:val="18"/>
        </w:rPr>
        <w:t xml:space="preserve"> Yamamoto, Dale, “Assessment of the Feasibility and Cost of Replacing In-Person Care with Acute Care Telehealth Services.” December 2014. Available here: </w:t>
      </w:r>
      <w:hyperlink r:id="rId3" w:history="1">
        <w:r w:rsidRPr="005F79DB">
          <w:rPr>
            <w:rStyle w:val="Hyperlink"/>
            <w:sz w:val="18"/>
          </w:rPr>
          <w:t>http://bit.ly/1wt9gth</w:t>
        </w:r>
      </w:hyperlink>
      <w:r w:rsidRPr="005F79DB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19126" w14:textId="27DC6BBC" w:rsidR="006C376B" w:rsidRDefault="006C376B" w:rsidP="006C376B">
    <w:pPr>
      <w:pStyle w:val="Header"/>
      <w:jc w:val="center"/>
    </w:pPr>
    <w:r w:rsidRPr="00ED1170">
      <w:rPr>
        <w:noProof/>
      </w:rPr>
      <w:drawing>
        <wp:inline distT="0" distB="0" distL="0" distR="0" wp14:anchorId="4E1DE24A" wp14:editId="37D4BF81">
          <wp:extent cx="2190750" cy="759104"/>
          <wp:effectExtent l="0" t="0" r="0" b="3175"/>
          <wp:docPr id="1" name="Picture 1" descr="Alliance for Connected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iance for Connected Ca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581" cy="76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67D"/>
    <w:multiLevelType w:val="hybridMultilevel"/>
    <w:tmpl w:val="5CE8B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4097"/>
    <w:multiLevelType w:val="hybridMultilevel"/>
    <w:tmpl w:val="279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41C"/>
    <w:multiLevelType w:val="hybridMultilevel"/>
    <w:tmpl w:val="7250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6510"/>
    <w:multiLevelType w:val="hybridMultilevel"/>
    <w:tmpl w:val="D18A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2A75"/>
    <w:multiLevelType w:val="hybridMultilevel"/>
    <w:tmpl w:val="E5CE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35612"/>
    <w:multiLevelType w:val="multilevel"/>
    <w:tmpl w:val="5D9E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0349D"/>
    <w:multiLevelType w:val="hybridMultilevel"/>
    <w:tmpl w:val="39C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68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535"/>
    <w:multiLevelType w:val="hybridMultilevel"/>
    <w:tmpl w:val="C90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9661F"/>
    <w:multiLevelType w:val="hybridMultilevel"/>
    <w:tmpl w:val="6B54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682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34AD"/>
    <w:multiLevelType w:val="hybridMultilevel"/>
    <w:tmpl w:val="1A3E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F19B9"/>
    <w:multiLevelType w:val="hybridMultilevel"/>
    <w:tmpl w:val="0B3EB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581C1C"/>
    <w:multiLevelType w:val="hybridMultilevel"/>
    <w:tmpl w:val="3FA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33DFC"/>
    <w:multiLevelType w:val="hybridMultilevel"/>
    <w:tmpl w:val="4CA0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374E"/>
    <w:multiLevelType w:val="hybridMultilevel"/>
    <w:tmpl w:val="EF34498C"/>
    <w:lvl w:ilvl="0" w:tplc="3CBEA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E3437"/>
    <w:multiLevelType w:val="hybridMultilevel"/>
    <w:tmpl w:val="A9FC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F789B"/>
    <w:multiLevelType w:val="hybridMultilevel"/>
    <w:tmpl w:val="272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5D8E"/>
    <w:multiLevelType w:val="hybridMultilevel"/>
    <w:tmpl w:val="A49A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14D49"/>
    <w:multiLevelType w:val="multilevel"/>
    <w:tmpl w:val="6AEE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94090D"/>
    <w:multiLevelType w:val="hybridMultilevel"/>
    <w:tmpl w:val="E0F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777D5"/>
    <w:multiLevelType w:val="hybridMultilevel"/>
    <w:tmpl w:val="DF0E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83C37"/>
    <w:multiLevelType w:val="hybridMultilevel"/>
    <w:tmpl w:val="7686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7"/>
  </w:num>
  <w:num w:numId="5">
    <w:abstractNumId w:val="13"/>
  </w:num>
  <w:num w:numId="6">
    <w:abstractNumId w:val="1"/>
  </w:num>
  <w:num w:numId="7">
    <w:abstractNumId w:val="10"/>
  </w:num>
  <w:num w:numId="8">
    <w:abstractNumId w:val="17"/>
  </w:num>
  <w:num w:numId="9">
    <w:abstractNumId w:val="0"/>
  </w:num>
  <w:num w:numId="10">
    <w:abstractNumId w:val="8"/>
  </w:num>
  <w:num w:numId="11">
    <w:abstractNumId w:val="19"/>
  </w:num>
  <w:num w:numId="12">
    <w:abstractNumId w:val="14"/>
  </w:num>
  <w:num w:numId="13">
    <w:abstractNumId w:val="6"/>
  </w:num>
  <w:num w:numId="14">
    <w:abstractNumId w:val="12"/>
  </w:num>
  <w:num w:numId="15">
    <w:abstractNumId w:val="16"/>
  </w:num>
  <w:num w:numId="16">
    <w:abstractNumId w:val="4"/>
  </w:num>
  <w:num w:numId="17">
    <w:abstractNumId w:val="20"/>
  </w:num>
  <w:num w:numId="18">
    <w:abstractNumId w:val="15"/>
  </w:num>
  <w:num w:numId="19">
    <w:abstractNumId w:val="2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3E"/>
    <w:rsid w:val="0004248F"/>
    <w:rsid w:val="000B1178"/>
    <w:rsid w:val="00133366"/>
    <w:rsid w:val="00146874"/>
    <w:rsid w:val="00163C69"/>
    <w:rsid w:val="00170F53"/>
    <w:rsid w:val="0017698A"/>
    <w:rsid w:val="001B431F"/>
    <w:rsid w:val="001E5089"/>
    <w:rsid w:val="002126E7"/>
    <w:rsid w:val="00237141"/>
    <w:rsid w:val="00246AB5"/>
    <w:rsid w:val="00252A7D"/>
    <w:rsid w:val="00271B84"/>
    <w:rsid w:val="00284F2D"/>
    <w:rsid w:val="002961CF"/>
    <w:rsid w:val="002B0C27"/>
    <w:rsid w:val="002B5D9F"/>
    <w:rsid w:val="003172FC"/>
    <w:rsid w:val="00331404"/>
    <w:rsid w:val="00334B92"/>
    <w:rsid w:val="0036653A"/>
    <w:rsid w:val="00374556"/>
    <w:rsid w:val="00396E25"/>
    <w:rsid w:val="003B5229"/>
    <w:rsid w:val="003C4565"/>
    <w:rsid w:val="003E6EA0"/>
    <w:rsid w:val="00442C1D"/>
    <w:rsid w:val="00466E08"/>
    <w:rsid w:val="00483061"/>
    <w:rsid w:val="004B27B3"/>
    <w:rsid w:val="004B3885"/>
    <w:rsid w:val="004C399C"/>
    <w:rsid w:val="004C4931"/>
    <w:rsid w:val="00554ADA"/>
    <w:rsid w:val="005723A5"/>
    <w:rsid w:val="005E26FE"/>
    <w:rsid w:val="005F768D"/>
    <w:rsid w:val="005F79DB"/>
    <w:rsid w:val="00621B46"/>
    <w:rsid w:val="0066391D"/>
    <w:rsid w:val="006705AE"/>
    <w:rsid w:val="00683290"/>
    <w:rsid w:val="006A0560"/>
    <w:rsid w:val="006C376B"/>
    <w:rsid w:val="006D675E"/>
    <w:rsid w:val="006E0675"/>
    <w:rsid w:val="00707BAF"/>
    <w:rsid w:val="00745D05"/>
    <w:rsid w:val="007524AF"/>
    <w:rsid w:val="0079186B"/>
    <w:rsid w:val="007A3806"/>
    <w:rsid w:val="007B5740"/>
    <w:rsid w:val="007E6E3F"/>
    <w:rsid w:val="008268EA"/>
    <w:rsid w:val="00831E7B"/>
    <w:rsid w:val="00840B7C"/>
    <w:rsid w:val="008D4BCE"/>
    <w:rsid w:val="008D5E3E"/>
    <w:rsid w:val="00974C82"/>
    <w:rsid w:val="009766FD"/>
    <w:rsid w:val="009B5A21"/>
    <w:rsid w:val="009E0AFF"/>
    <w:rsid w:val="00A066CA"/>
    <w:rsid w:val="00AE4D20"/>
    <w:rsid w:val="00B11564"/>
    <w:rsid w:val="00B1631E"/>
    <w:rsid w:val="00B1793D"/>
    <w:rsid w:val="00B43048"/>
    <w:rsid w:val="00B932AE"/>
    <w:rsid w:val="00BE0D31"/>
    <w:rsid w:val="00C07DE4"/>
    <w:rsid w:val="00CA23C0"/>
    <w:rsid w:val="00CF1C76"/>
    <w:rsid w:val="00CF3AC2"/>
    <w:rsid w:val="00D02AC6"/>
    <w:rsid w:val="00D10BEC"/>
    <w:rsid w:val="00D12FE8"/>
    <w:rsid w:val="00D17861"/>
    <w:rsid w:val="00D320DF"/>
    <w:rsid w:val="00D45114"/>
    <w:rsid w:val="00D603B7"/>
    <w:rsid w:val="00D63FFF"/>
    <w:rsid w:val="00DD757A"/>
    <w:rsid w:val="00DE1EF7"/>
    <w:rsid w:val="00DF21D3"/>
    <w:rsid w:val="00DF6F60"/>
    <w:rsid w:val="00E11534"/>
    <w:rsid w:val="00E63770"/>
    <w:rsid w:val="00EB3A01"/>
    <w:rsid w:val="00EB5979"/>
    <w:rsid w:val="00ED1170"/>
    <w:rsid w:val="00EE0E05"/>
    <w:rsid w:val="00F34A66"/>
    <w:rsid w:val="00F37856"/>
    <w:rsid w:val="00F414AF"/>
    <w:rsid w:val="00F41FA0"/>
    <w:rsid w:val="00F65471"/>
    <w:rsid w:val="00F70245"/>
    <w:rsid w:val="00F720F7"/>
    <w:rsid w:val="00F7303C"/>
    <w:rsid w:val="00F738E1"/>
    <w:rsid w:val="00FB18B8"/>
    <w:rsid w:val="00FB6B7A"/>
    <w:rsid w:val="00FC3056"/>
    <w:rsid w:val="00FD103E"/>
    <w:rsid w:val="00FE21A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395E"/>
  <w15:chartTrackingRefBased/>
  <w15:docId w15:val="{0431B19A-B9FF-49AB-95FC-864A0444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5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EA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6E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E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6EA0"/>
    <w:rPr>
      <w:vertAlign w:val="superscript"/>
    </w:rPr>
  </w:style>
  <w:style w:type="character" w:styleId="Strong">
    <w:name w:val="Strong"/>
    <w:basedOn w:val="DefaultParagraphFont"/>
    <w:uiPriority w:val="22"/>
    <w:qFormat/>
    <w:rsid w:val="00621B46"/>
    <w:rPr>
      <w:b/>
      <w:bCs/>
    </w:rPr>
  </w:style>
  <w:style w:type="character" w:styleId="Emphasis">
    <w:name w:val="Emphasis"/>
    <w:basedOn w:val="DefaultParagraphFont"/>
    <w:uiPriority w:val="20"/>
    <w:qFormat/>
    <w:rsid w:val="00621B46"/>
    <w:rPr>
      <w:i/>
      <w:iCs/>
    </w:rPr>
  </w:style>
  <w:style w:type="table" w:styleId="TableGrid">
    <w:name w:val="Table Grid"/>
    <w:basedOn w:val="TableNormal"/>
    <w:uiPriority w:val="39"/>
    <w:rsid w:val="00F7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F738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st">
    <w:name w:val="st"/>
    <w:basedOn w:val="DefaultParagraphFont"/>
    <w:rsid w:val="00442C1D"/>
  </w:style>
  <w:style w:type="table" w:styleId="PlainTable4">
    <w:name w:val="Plain Table 4"/>
    <w:basedOn w:val="TableNormal"/>
    <w:uiPriority w:val="44"/>
    <w:rsid w:val="00331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3314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3314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initialsChar">
    <w:name w:val="initials Char"/>
    <w:basedOn w:val="DefaultParagraphFont"/>
    <w:link w:val="initials"/>
    <w:locked/>
    <w:rsid w:val="00D320DF"/>
    <w:rPr>
      <w:rFonts w:ascii="Garamond" w:hAnsi="Garamond"/>
      <w:sz w:val="24"/>
      <w:szCs w:val="24"/>
    </w:rPr>
  </w:style>
  <w:style w:type="paragraph" w:customStyle="1" w:styleId="initials">
    <w:name w:val="initials"/>
    <w:basedOn w:val="BodyText3"/>
    <w:link w:val="initialsChar"/>
    <w:rsid w:val="00D320DF"/>
    <w:pPr>
      <w:spacing w:after="240" w:line="240" w:lineRule="auto"/>
    </w:pPr>
    <w:rPr>
      <w:rFonts w:ascii="Garamond" w:hAnsi="Garamond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20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20DF"/>
    <w:rPr>
      <w:sz w:val="16"/>
      <w:szCs w:val="16"/>
    </w:rPr>
  </w:style>
  <w:style w:type="character" w:customStyle="1" w:styleId="highlight">
    <w:name w:val="highlight"/>
    <w:basedOn w:val="DefaultParagraphFont"/>
    <w:rsid w:val="00DE1EF7"/>
  </w:style>
  <w:style w:type="paragraph" w:styleId="Header">
    <w:name w:val="header"/>
    <w:basedOn w:val="Normal"/>
    <w:link w:val="HeaderChar"/>
    <w:uiPriority w:val="99"/>
    <w:unhideWhenUsed/>
    <w:rsid w:val="0097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82"/>
  </w:style>
  <w:style w:type="paragraph" w:styleId="Footer">
    <w:name w:val="footer"/>
    <w:basedOn w:val="Normal"/>
    <w:link w:val="FooterChar"/>
    <w:uiPriority w:val="99"/>
    <w:unhideWhenUsed/>
    <w:rsid w:val="0097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82"/>
  </w:style>
  <w:style w:type="paragraph" w:styleId="BalloonText">
    <w:name w:val="Balloon Text"/>
    <w:basedOn w:val="Normal"/>
    <w:link w:val="BalloonTextChar"/>
    <w:uiPriority w:val="99"/>
    <w:semiHidden/>
    <w:unhideWhenUsed/>
    <w:rsid w:val="00F7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t.ly/1wt9gth" TargetMode="External"/><Relationship Id="rId2" Type="http://schemas.openxmlformats.org/officeDocument/2006/relationships/hyperlink" Target="http://bit.ly/1B3xd2n" TargetMode="External"/><Relationship Id="rId1" Type="http://schemas.openxmlformats.org/officeDocument/2006/relationships/hyperlink" Target="http://bit.ly/1GIhy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C71D-5F4D-489C-A72B-7BCBDA86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Melissa Quick</cp:lastModifiedBy>
  <cp:revision>3</cp:revision>
  <cp:lastPrinted>2017-04-14T12:01:00Z</cp:lastPrinted>
  <dcterms:created xsi:type="dcterms:W3CDTF">2017-06-12T16:26:00Z</dcterms:created>
  <dcterms:modified xsi:type="dcterms:W3CDTF">2017-06-12T16:27:00Z</dcterms:modified>
</cp:coreProperties>
</file>